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מנחם בגין: מנהיגות, צניעות ושלום</w:t>
            </w:r>
          </w:p>
          <w:p>
            <w:pPr>
              <w:bidi/>
              <w:jc w:val="right"/>
            </w:pPr>
            <w:r>
              <w:rPr>
                <w:rFonts w:ascii="Arial" w:hAnsi="Arial" w:cs="Arial" w:eastAsia="Arial"/>
                <w:lang w:val="he-IL" w:bidi="he-IL"/>
                <w:b/>
                <w:color w:val="3C1361"/>
                <w:sz w:val="32"/>
                <w:rtl/>
                <w:szCs w:val="32"/>
                <w:bCs/>
              </w:rPr>
              <w:t>דף תרגול: מנחם בגין – מנהיגות, צניעות וממלכתיות</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לזהות קשר בין ערכים אישיים (צניעות, כיבוד חוק) לבין מנהיגות ציבורית</w:t>
      </w:r>
    </w:p>
    <w:p>
      <w:pPr>
        <w:bidi/>
        <w:spacing w:after="80"/>
        <w:jc w:val="right"/>
      </w:pPr>
      <w:r>
        <w:rPr>
          <w:rFonts w:ascii="Arial" w:hAnsi="Arial" w:cs="Arial" w:eastAsia="Arial"/>
          <w:lang w:val="he-IL" w:bidi="he-IL"/>
          <w:sz w:val="22"/>
          <w:rtl/>
          <w:szCs w:val="22"/>
        </w:rPr>
        <w:t>• לתרגל ניתוח עמדות וטיעון מנומק על בסיס דוגמאות מחיי בגין</w:t>
      </w:r>
    </w:p>
    <w:p>
      <w:pPr>
        <w:bidi/>
        <w:spacing w:after="80"/>
        <w:jc w:val="right"/>
      </w:pPr>
      <w:r>
        <w:rPr>
          <w:rFonts w:ascii="Arial" w:hAnsi="Arial" w:cs="Arial" w:eastAsia="Arial"/>
          <w:lang w:val="he-IL" w:bidi="he-IL"/>
          <w:sz w:val="22"/>
          <w:rtl/>
          <w:szCs w:val="22"/>
        </w:rPr>
        <w:t>• לכתוב פסקת טיעון מובנית (טענה, נימוק, דוגמה, סיכום)</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הבנה בסיסית</w:t>
      </w:r>
    </w:p>
    <w:p>
      <w:pPr>
        <w:bidi/>
        <w:spacing w:after="40"/>
        <w:jc w:val="right"/>
      </w:pPr>
      <w:r>
        <w:rPr>
          <w:rFonts w:ascii="Arial" w:hAnsi="Arial" w:cs="Arial" w:eastAsia="Arial"/>
          <w:lang w:val="he-IL" w:bidi="he-IL"/>
          <w:sz w:val="22"/>
          <w:rtl/>
          <w:szCs w:val="22"/>
        </w:rPr>
        <w:t>1. א – פעולה לטובת המדינה כולה</w:t>
      </w:r>
    </w:p>
    <w:p>
      <w:pPr>
        <w:bidi/>
        <w:spacing w:after="40"/>
        <w:jc w:val="right"/>
      </w:pPr>
      <w:r>
        <w:rPr>
          <w:rFonts w:ascii="Arial" w:hAnsi="Arial" w:cs="Arial" w:eastAsia="Arial"/>
          <w:lang w:val="he-IL" w:bidi="he-IL"/>
          <w:sz w:val="22"/>
          <w:rtl/>
          <w:szCs w:val="22"/>
        </w:rPr>
        <w:t>2. ב – למנוע מלחמת אחים בין יהודים</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הדף מציג עמדה שמנהיג צריך לפעול לטובת המדינה כולה</w:t>
      </w:r>
    </w:p>
    <w:p>
      <w:pPr>
        <w:bidi/>
        <w:spacing w:after="40"/>
        <w:jc w:val="right"/>
      </w:pPr>
      <w:r>
        <w:rPr>
          <w:rFonts w:ascii="Arial" w:hAnsi="Arial" w:cs="Arial" w:eastAsia="Arial"/>
          <w:lang w:val="he-IL" w:bidi="he-IL"/>
          <w:sz w:val="22"/>
          <w:rtl/>
          <w:szCs w:val="22"/>
        </w:rPr>
        <w:t>2. נכון – צניעותו האישית הייתה חלק ממנהיגותו</w:t>
      </w:r>
    </w:p>
    <w:p>
      <w:pPr>
        <w:bidi/>
        <w:pStyle w:val="Heading3"/>
        <w:spacing w:after="80"/>
        <w:jc w:val="right"/>
      </w:pPr>
      <w:r>
        <w:rPr>
          <w:rFonts w:ascii="Arial" w:hAnsi="Arial" w:cs="Arial" w:eastAsia="Arial"/>
          <w:lang w:val="he-IL" w:bidi="he-IL"/>
          <w:b/>
          <w:color w:val="3182CE"/>
          <w:sz w:val="26"/>
          <w:rtl/>
          <w:szCs w:val="26"/>
          <w:bCs/>
        </w:rPr>
        <w:t>חלק ג׳ – השלמת מילים</w:t>
      </w:r>
    </w:p>
    <w:p>
      <w:pPr>
        <w:bidi/>
        <w:spacing w:after="40"/>
        <w:jc w:val="right"/>
      </w:pPr>
      <w:r>
        <w:rPr>
          <w:rFonts w:ascii="Arial" w:hAnsi="Arial" w:cs="Arial" w:eastAsia="Arial"/>
          <w:lang w:val="he-IL" w:bidi="he-IL"/>
          <w:sz w:val="22"/>
          <w:rtl/>
          <w:szCs w:val="22"/>
        </w:rPr>
        <w:t>1. פשטות</w:t>
      </w:r>
    </w:p>
    <w:p>
      <w:pPr>
        <w:bidi/>
        <w:spacing w:after="40"/>
        <w:jc w:val="right"/>
      </w:pPr>
      <w:r>
        <w:rPr>
          <w:rFonts w:ascii="Arial" w:hAnsi="Arial" w:cs="Arial" w:eastAsia="Arial"/>
          <w:lang w:val="he-IL" w:bidi="he-IL"/>
          <w:sz w:val="22"/>
          <w:rtl/>
          <w:szCs w:val="22"/>
        </w:rPr>
        <w:t>2. אלטלנה</w:t>
      </w:r>
    </w:p>
    <w:p>
      <w:pPr>
        <w:bidi/>
        <w:pStyle w:val="Heading3"/>
        <w:spacing w:after="80"/>
        <w:jc w:val="right"/>
      </w:pPr>
      <w:r>
        <w:rPr>
          <w:rFonts w:ascii="Arial" w:hAnsi="Arial" w:cs="Arial" w:eastAsia="Arial"/>
          <w:lang w:val="he-IL" w:bidi="he-IL"/>
          <w:b/>
          <w:color w:val="38A169"/>
          <w:sz w:val="26"/>
          <w:rtl/>
          <w:szCs w:val="26"/>
          <w:bCs/>
        </w:rPr>
        <w:t>חלק ד׳ – התאמת מושגים</w:t>
      </w:r>
    </w:p>
    <w:p>
      <w:pPr>
        <w:bidi/>
        <w:spacing w:after="40"/>
        <w:jc w:val="right"/>
      </w:pPr>
      <w:r>
        <w:rPr>
          <w:rFonts w:ascii="Arial" w:hAnsi="Arial" w:cs="Arial" w:eastAsia="Arial"/>
          <w:lang w:val="he-IL" w:bidi="he-IL"/>
          <w:sz w:val="22"/>
          <w:rtl/>
          <w:szCs w:val="22"/>
        </w:rPr>
        <w:t>1 – ג (פעולה לטובת כלל הציבור)</w:t>
      </w:r>
    </w:p>
    <w:p>
      <w:pPr>
        <w:bidi/>
        <w:spacing w:after="40"/>
        <w:jc w:val="right"/>
      </w:pPr>
      <w:r>
        <w:rPr>
          <w:rFonts w:ascii="Arial" w:hAnsi="Arial" w:cs="Arial" w:eastAsia="Arial"/>
          <w:lang w:val="he-IL" w:bidi="he-IL"/>
          <w:sz w:val="22"/>
          <w:rtl/>
          <w:szCs w:val="22"/>
        </w:rPr>
        <w:t>2 – ד (הימנעות מהפגנת עושר וכוח)</w:t>
      </w:r>
    </w:p>
    <w:p>
      <w:pPr>
        <w:bidi/>
        <w:spacing w:after="40"/>
        <w:jc w:val="right"/>
      </w:pPr>
      <w:r>
        <w:rPr>
          <w:rFonts w:ascii="Arial" w:hAnsi="Arial" w:cs="Arial" w:eastAsia="Arial"/>
          <w:lang w:val="he-IL" w:bidi="he-IL"/>
          <w:sz w:val="22"/>
          <w:rtl/>
          <w:szCs w:val="22"/>
        </w:rPr>
        <w:t>3 – ב (יכולת לשנות עמדה לפי נסיבות)</w:t>
      </w:r>
    </w:p>
    <w:p>
      <w:pPr>
        <w:bidi/>
        <w:spacing w:after="40"/>
        <w:jc w:val="right"/>
      </w:pPr>
      <w:r>
        <w:rPr>
          <w:rFonts w:ascii="Arial" w:hAnsi="Arial" w:cs="Arial" w:eastAsia="Arial"/>
          <w:lang w:val="he-IL" w:bidi="he-IL"/>
          <w:sz w:val="22"/>
          <w:rtl/>
          <w:szCs w:val="22"/>
        </w:rPr>
        <w:t>4 – א (פעולה לפי חוק גם כשזה קשה אישית)</w:t>
      </w:r>
    </w:p>
    <w:p>
      <w:pPr>
        <w:bidi/>
        <w:pStyle w:val="Heading3"/>
        <w:spacing w:after="80"/>
        <w:jc w:val="right"/>
      </w:pPr>
      <w:r>
        <w:rPr>
          <w:rFonts w:ascii="Arial" w:hAnsi="Arial" w:cs="Arial" w:eastAsia="Arial"/>
          <w:lang w:val="he-IL" w:bidi="he-IL"/>
          <w:b/>
          <w:color w:val="805AD5"/>
          <w:sz w:val="26"/>
          <w:rtl/>
          <w:szCs w:val="26"/>
          <w:bCs/>
        </w:rPr>
        <w:t>חלק ה׳ – תשובה קצרה</w:t>
      </w:r>
    </w:p>
    <w:p>
      <w:pPr>
        <w:bidi/>
        <w:pStyle w:val="Heading3"/>
        <w:spacing w:after="80"/>
        <w:jc w:val="right"/>
      </w:pPr>
      <w:r>
        <w:rPr>
          <w:rFonts w:ascii="Arial" w:hAnsi="Arial" w:cs="Arial" w:eastAsia="Arial"/>
          <w:lang w:val="he-IL" w:bidi="he-IL"/>
          <w:b/>
          <w:color w:val="D53F8C"/>
          <w:sz w:val="26"/>
          <w:rtl/>
          <w:szCs w:val="26"/>
          <w:bCs/>
        </w:rPr>
        <w:t>חלק ו׳ – כתיבת פסקת טיעון</w:t>
      </w:r>
    </w:p>
    <w:p>
      <w:pPr>
        <w:bidi/>
        <w:spacing w:after="40"/>
        <w:jc w:val="right"/>
      </w:pPr>
      <w:r>
        <w:rPr>
          <w:rFonts w:ascii="Arial" w:hAnsi="Arial" w:cs="Arial" w:eastAsia="Arial"/>
          <w:lang w:val="he-IL" w:bidi="he-IL"/>
          <w:sz w:val="22"/>
          <w:rtl/>
          <w:szCs w:val="22"/>
        </w:rPr>
        <w:t>1. יש לבדוק מבנה ברור (טענה-נימוק-דוגמה-סיכום), שימוש נכון בדוגמה רלוונטית מחיי בגין, ושפה בהירה ומנומקת</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הגדרה: פעולה לטובת כלל המדינה ולא רק קבוצה</w:t>
      </w:r>
    </w:p>
    <w:p>
      <w:pPr>
        <w:bidi/>
        <w:spacing w:after="80"/>
        <w:jc w:val="right"/>
      </w:pPr>
      <w:r>
        <w:rPr>
          <w:rFonts w:ascii="Arial" w:hAnsi="Arial" w:cs="Arial" w:eastAsia="Arial"/>
          <w:lang w:val="he-IL" w:bidi="he-IL"/>
          <w:sz w:val="22"/>
          <w:rtl/>
          <w:szCs w:val="22"/>
        </w:rPr>
        <w:t>• דוגמה כמו חיים פשוטים או הימנעות מרכוש</w:t>
      </w:r>
    </w:p>
    <w:p>
      <w:pPr>
        <w:bidi/>
        <w:spacing w:after="80"/>
        <w:jc w:val="right"/>
      </w:pPr>
      <w:r>
        <w:rPr>
          <w:rFonts w:ascii="Arial" w:hAnsi="Arial" w:cs="Arial" w:eastAsia="Arial"/>
          <w:lang w:val="he-IL" w:bidi="he-IL"/>
          <w:sz w:val="22"/>
          <w:rtl/>
          <w:szCs w:val="22"/>
        </w:rPr>
        <w:t>• תשובה אישית עם נימוק הגיוני, לא חובה הסכמה מלאה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לפתוח בדיון קצר על הסקאלה שבדף לפני מילוי הפעילויות</w:t>
      </w:r>
    </w:p>
    <w:p>
      <w:pPr>
        <w:bidi/>
        <w:spacing w:after="80"/>
        <w:jc w:val="right"/>
      </w:pPr>
      <w:r>
        <w:rPr>
          <w:rFonts w:ascii="Arial" w:hAnsi="Arial" w:cs="Arial" w:eastAsia="Arial"/>
          <w:lang w:val="he-IL" w:bidi="he-IL"/>
          <w:sz w:val="22"/>
          <w:rtl/>
          <w:szCs w:val="22"/>
        </w:rPr>
        <w:t>• כדאי לעודד תלמידים להשוות בין עמדות שונות בכיתה לפני הכתיבה האישית</w:t>
      </w:r>
    </w:p>
    <w:p>
      <w:pPr>
        <w:bidi/>
        <w:spacing w:after="80"/>
        <w:jc w:val="right"/>
      </w:pPr>
      <w:r>
        <w:rPr>
          <w:rFonts w:ascii="Arial" w:hAnsi="Arial" w:cs="Arial" w:eastAsia="Arial"/>
          <w:lang w:val="he-IL" w:bidi="he-IL"/>
          <w:sz w:val="22"/>
          <w:rtl/>
          <w:szCs w:val="22"/>
        </w:rPr>
        <w:t>• בחלק הפתוח מומלץ לתת דוגמה אחת מודגמת לפני שהתלמידים כותבים בעצמם</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מנחם בגין: מנהיגות, צניעות ושלום</w:t>
            </w:r>
          </w:p>
          <w:p>
            <w:pPr>
              <w:bidi/>
              <w:jc w:val="right"/>
            </w:pPr>
            <w:r>
              <w:rPr>
                <w:rFonts w:ascii="Arial" w:hAnsi="Arial" w:cs="Arial" w:eastAsia="Arial"/>
                <w:lang w:val="he-IL" w:bidi="he-IL"/>
                <w:b/>
                <w:color w:val="3C1361"/>
                <w:sz w:val="32"/>
                <w:rtl/>
                <w:szCs w:val="32"/>
                <w:bCs/>
              </w:rPr>
              <w:t>דף תרגול: מנחם בגין – מנהיגות, צניעות וממלכתיות</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בדף זה נתרגל מושגים הקשורים למנהיגותו של מנחם בגין: ממלכתיות, צניעות אישית, גמישות מחשבתית וכיבוד החוק, תוך הסתמכות על דוגמאות מחייו.</w:t>
      </w:r>
    </w:p>
    <w:p>
      <w:pPr>
        <w:bidi/>
        <w:spacing w:after="80"/>
        <w:jc w:val="right"/>
      </w:pPr>
      <w:r>
        <w:rPr>
          <w:rFonts w:ascii="Arial" w:hAnsi="Arial" w:cs="Arial" w:eastAsia="Arial"/>
          <w:lang w:val="he-IL" w:bidi="he-IL"/>
          <w:b/>
          <w:color w:val="7B341E"/>
          <w:sz w:val="32"/>
          <w:rtl/>
          <w:szCs w:val="32"/>
          <w:bCs/>
        </w:rPr>
        <w:t>🧺 בנק מילים: פשטות  ·  אלטלנה</w:t>
      </w:r>
    </w:p>
    <w:p>
      <w:pPr>
        <w:bidi/>
        <w:pStyle w:val="Heading2"/>
        <w:spacing w:after="80"/>
        <w:jc w:val="right"/>
      </w:pPr>
      <w:r>
        <w:rPr>
          <w:rFonts w:ascii="Arial" w:hAnsi="Arial" w:cs="Arial" w:eastAsia="Arial"/>
          <w:lang w:val="he-IL" w:bidi="he-IL"/>
          <w:b/>
          <w:color w:val="E53E3E"/>
          <w:sz w:val="36"/>
          <w:rtl/>
          <w:szCs w:val="36"/>
          <w:bCs/>
        </w:rPr>
        <w:t>1  חלק א׳ – הבנה בסיסית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מאפיין גישה ממלכתית אצל מנהיג?</w:t>
      </w:r>
    </w:p>
    <w:p>
      <w:pPr>
        <w:bidi/>
        <w:spacing w:after="20"/>
        <w:jc w:val="right"/>
      </w:pPr>
      <w:r>
        <w:rPr>
          <w:rFonts w:ascii="Arial" w:hAnsi="Arial" w:cs="Arial" w:eastAsia="Arial"/>
          <w:lang w:val="he-IL" w:bidi="he-IL"/>
          <w:sz w:val="32"/>
          <w:rtl/>
          <w:szCs w:val="32"/>
        </w:rPr>
        <w:t xml:space="preserve">      ☐ א. פעולה לטובת המדינה כולה</w:t>
      </w:r>
    </w:p>
    <w:p>
      <w:pPr>
        <w:bidi/>
        <w:spacing w:after="20"/>
        <w:jc w:val="right"/>
      </w:pPr>
      <w:r>
        <w:rPr>
          <w:rFonts w:ascii="Arial" w:hAnsi="Arial" w:cs="Arial" w:eastAsia="Arial"/>
          <w:lang w:val="he-IL" w:bidi="he-IL"/>
          <w:sz w:val="32"/>
          <w:rtl/>
          <w:szCs w:val="32"/>
        </w:rPr>
        <w:t xml:space="preserve">      ☐ ב. פעולה לטובת תומכיו בלבד</w:t>
      </w:r>
    </w:p>
    <w:p>
      <w:pPr>
        <w:bidi/>
        <w:spacing w:after="20"/>
        <w:jc w:val="right"/>
      </w:pPr>
      <w:r>
        <w:rPr>
          <w:rFonts w:ascii="Arial" w:hAnsi="Arial" w:cs="Arial" w:eastAsia="Arial"/>
          <w:lang w:val="he-IL" w:bidi="he-IL"/>
          <w:sz w:val="32"/>
          <w:rtl/>
          <w:szCs w:val="32"/>
        </w:rPr>
        <w:t xml:space="preserve">      ☐ ג. הימנעות מקבלת החלטות</w:t>
      </w:r>
    </w:p>
    <w:p>
      <w:pPr>
        <w:bidi/>
        <w:spacing w:after="20"/>
        <w:jc w:val="right"/>
      </w:pPr>
      <w:r>
        <w:rPr>
          <w:rFonts w:ascii="Arial" w:hAnsi="Arial" w:cs="Arial" w:eastAsia="Arial"/>
          <w:lang w:val="he-IL" w:bidi="he-IL"/>
          <w:b/>
          <w:sz w:val="32"/>
          <w:rtl/>
          <w:szCs w:val="32"/>
          <w:bCs/>
        </w:rPr>
        <w:t>2. בפרשת האלטלנה בגין בחר ב...</w:t>
      </w:r>
    </w:p>
    <w:p>
      <w:pPr>
        <w:bidi/>
        <w:spacing w:after="20"/>
        <w:jc w:val="right"/>
      </w:pPr>
      <w:r>
        <w:rPr>
          <w:rFonts w:ascii="Arial" w:hAnsi="Arial" w:cs="Arial" w:eastAsia="Arial"/>
          <w:lang w:val="he-IL" w:bidi="he-IL"/>
          <w:sz w:val="32"/>
          <w:rtl/>
          <w:szCs w:val="32"/>
        </w:rPr>
        <w:t xml:space="preserve">      ☐ א. הילחם בכוח נגד הממשלה</w:t>
      </w:r>
    </w:p>
    <w:p>
      <w:pPr>
        <w:bidi/>
        <w:spacing w:after="20"/>
        <w:jc w:val="right"/>
      </w:pPr>
      <w:r>
        <w:rPr>
          <w:rFonts w:ascii="Arial" w:hAnsi="Arial" w:cs="Arial" w:eastAsia="Arial"/>
          <w:lang w:val="he-IL" w:bidi="he-IL"/>
          <w:sz w:val="32"/>
          <w:rtl/>
          <w:szCs w:val="32"/>
        </w:rPr>
        <w:t xml:space="preserve">      ☐ ב. למנוע מלחמת אחים בין יהודים</w:t>
      </w:r>
    </w:p>
    <w:p>
      <w:pPr>
        <w:bidi/>
        <w:spacing w:after="20"/>
        <w:jc w:val="right"/>
      </w:pPr>
      <w:r>
        <w:rPr>
          <w:rFonts w:ascii="Arial" w:hAnsi="Arial" w:cs="Arial" w:eastAsia="Arial"/>
          <w:lang w:val="he-IL" w:bidi="he-IL"/>
          <w:sz w:val="32"/>
          <w:rtl/>
          <w:szCs w:val="32"/>
        </w:rPr>
        <w:t xml:space="preserve">      ☐ ג. להתעלם מהאירוע</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לפי הדף, מנהיג צריך לפעול תמיד רק לטובת תומכיו.</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בגין נודע בחיי פשטות ולא ניצל את תפקידו לטובתו האישית.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השלמת מילים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בגין היה ידוע בחיי __________ ולא צבר רכוש רב</w:t>
      </w:r>
    </w:p>
    <w:p>
      <w:pPr>
        <w:bidi/>
        <w:spacing w:after="80"/>
        <w:jc w:val="right"/>
      </w:pPr>
      <w:r>
        <w:rPr>
          <w:rFonts w:ascii="Arial" w:hAnsi="Arial" w:cs="Arial" w:eastAsia="Arial"/>
          <w:lang w:val="he-IL" w:bidi="he-IL"/>
          <w:sz w:val="32"/>
          <w:rtl/>
          <w:szCs w:val="32"/>
        </w:rPr>
        <w:t>2. בפרשת ה__________ בגין בחר למנוע מלחמת אחים בין יהודים</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התאמת מושגים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ממלכתיות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פעולה לפי חוק גם כשזה קשה אישית</w:t>
            </w:r>
          </w:p>
        </w:tc>
      </w:tr>
      <w:tr>
        <w:tc>
          <w:tcPr>
            <w:tcW w:type="dxa" w:w="3969"/>
          </w:tcPr>
          <w:p>
            <w:pPr>
              <w:bidi/>
              <w:jc w:val="right"/>
            </w:pPr>
            <w:r>
              <w:rPr>
                <w:rFonts w:ascii="Arial" w:hAnsi="Arial" w:cs="Arial" w:eastAsia="Arial"/>
                <w:lang w:val="he-IL" w:bidi="he-IL"/>
                <w:sz w:val="32"/>
                <w:rtl/>
                <w:szCs w:val="32"/>
              </w:rPr>
              <w:t>2. צניעות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יכולת לשנות עמדה לפי נסיבות</w:t>
            </w:r>
          </w:p>
        </w:tc>
      </w:tr>
      <w:tr>
        <w:tc>
          <w:tcPr>
            <w:tcW w:type="dxa" w:w="3969"/>
          </w:tcPr>
          <w:p>
            <w:pPr>
              <w:bidi/>
              <w:jc w:val="right"/>
            </w:pPr>
            <w:r>
              <w:rPr>
                <w:rFonts w:ascii="Arial" w:hAnsi="Arial" w:cs="Arial" w:eastAsia="Arial"/>
                <w:lang w:val="he-IL" w:bidi="he-IL"/>
                <w:sz w:val="32"/>
                <w:rtl/>
                <w:szCs w:val="32"/>
              </w:rPr>
              <w:t>3. גמישות מנהיגותית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פעולה לטובת כלל הציבור</w:t>
            </w:r>
          </w:p>
        </w:tc>
      </w:tr>
      <w:tr>
        <w:tc>
          <w:tcPr>
            <w:tcW w:type="dxa" w:w="3969"/>
          </w:tcPr>
          <w:p>
            <w:pPr>
              <w:bidi/>
              <w:jc w:val="right"/>
            </w:pPr>
            <w:r>
              <w:rPr>
                <w:rFonts w:ascii="Arial" w:hAnsi="Arial" w:cs="Arial" w:eastAsia="Arial"/>
                <w:lang w:val="he-IL" w:bidi="he-IL"/>
                <w:sz w:val="32"/>
                <w:rtl/>
                <w:szCs w:val="32"/>
              </w:rPr>
              <w:t>4. כיבוד מוסדות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הימנעות מהפגנת עושר וכוח</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תשובה קצרה</w:t>
      </w:r>
    </w:p>
    <w:p>
      <w:pPr>
        <w:bidi/>
        <w:spacing w:after="80"/>
        <w:jc w:val="right"/>
      </w:pPr>
      <w:r>
        <w:rPr>
          <w:rFonts w:ascii="Arial" w:hAnsi="Arial" w:cs="Arial" w:eastAsia="Arial"/>
          <w:lang w:val="he-IL" w:bidi="he-IL"/>
          <w:color w:val="555555"/>
          <w:sz w:val="30"/>
          <w:rtl/>
          <w:szCs w:val="30"/>
        </w:rPr>
        <w:t>ענו בקצרה.</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כתיבת פסקת טיעון</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בחרו אחד מההיגדים הבאים וכתבו פסקת טיעון (טענה, נימוק, דוגמה מחיי בגין, סיכום): 1. מנהיג צריך לפעול לפי טובת המדינה גם כשזה פוגע בתומכיו. 2. צניעות אישית היא חלק מהמנהיגות. 3. מותר למנהיג לשנות עמדה כשהנסיבות משתנות. 4. כבוד לחוק ולמוסדות חשוב גם כשהם פועלים נגדי.</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מהי ממלכתיות במנהיגות?</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תנו דוגמה אחת לצניעות אישית אצל בגין</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מנחם בגין – מנהיגות, צניעות וממלכתיות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