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מנחם בגין: מנהיגות, צניעות ושלום</w:t>
            </w:r>
          </w:p>
          <w:p>
            <w:pPr>
              <w:bidi/>
              <w:jc w:val="right"/>
            </w:pPr>
            <w:r>
              <w:rPr>
                <w:rFonts w:ascii="Arial" w:hAnsi="Arial" w:cs="Arial" w:eastAsia="Arial"/>
                <w:lang w:val="he-IL" w:bidi="he-IL"/>
                <w:b/>
                <w:color w:val="3C1361"/>
                <w:sz w:val="32"/>
                <w:rtl/>
                <w:szCs w:val="32"/>
                <w:bCs/>
              </w:rPr>
              <w:t>דף תרגול: מנחם בגין – מנהיגות, צניעות וממלכתיות</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קשר בין ערכים אישיים (צניעות, כיבוד חוק) לבין מנהיגות ציבורית</w:t>
      </w:r>
    </w:p>
    <w:p>
      <w:pPr>
        <w:bidi/>
        <w:spacing w:after="80"/>
        <w:jc w:val="right"/>
      </w:pPr>
      <w:r>
        <w:rPr>
          <w:rFonts w:ascii="Arial" w:hAnsi="Arial" w:cs="Arial" w:eastAsia="Arial"/>
          <w:lang w:val="he-IL" w:bidi="he-IL"/>
          <w:sz w:val="22"/>
          <w:rtl/>
          <w:szCs w:val="22"/>
        </w:rPr>
        <w:t>• לתרגל ניתוח עמדות וטיעון מנומק על בסיס דוגמאות מחיי בגין</w:t>
      </w:r>
    </w:p>
    <w:p>
      <w:pPr>
        <w:bidi/>
        <w:spacing w:after="80"/>
        <w:jc w:val="right"/>
      </w:pPr>
      <w:r>
        <w:rPr>
          <w:rFonts w:ascii="Arial" w:hAnsi="Arial" w:cs="Arial" w:eastAsia="Arial"/>
          <w:lang w:val="he-IL" w:bidi="he-IL"/>
          <w:sz w:val="22"/>
          <w:rtl/>
          <w:szCs w:val="22"/>
        </w:rPr>
        <w:t>• לכתוב פסקת טיעון מובנית (טענה, נימוק, דוגמה, סיכום)</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א – פעולה לטובת המדינה כולה</w:t>
      </w:r>
    </w:p>
    <w:p>
      <w:pPr>
        <w:bidi/>
        <w:spacing w:after="40"/>
        <w:jc w:val="right"/>
      </w:pPr>
      <w:r>
        <w:rPr>
          <w:rFonts w:ascii="Arial" w:hAnsi="Arial" w:cs="Arial" w:eastAsia="Arial"/>
          <w:lang w:val="he-IL" w:bidi="he-IL"/>
          <w:sz w:val="22"/>
          <w:rtl/>
          <w:szCs w:val="22"/>
        </w:rPr>
        <w:t>2. ב – למנוע מלחמת אחים בין יהודים</w:t>
      </w:r>
    </w:p>
    <w:p>
      <w:pPr>
        <w:bidi/>
        <w:spacing w:after="40"/>
        <w:jc w:val="right"/>
      </w:pPr>
      <w:r>
        <w:rPr>
          <w:rFonts w:ascii="Arial" w:hAnsi="Arial" w:cs="Arial" w:eastAsia="Arial"/>
          <w:lang w:val="he-IL" w:bidi="he-IL"/>
          <w:sz w:val="22"/>
          <w:rtl/>
          <w:szCs w:val="22"/>
        </w:rPr>
        <w:t>3. ב – מצרים</w:t>
      </w:r>
    </w:p>
    <w:p>
      <w:pPr>
        <w:bidi/>
        <w:spacing w:after="40"/>
        <w:jc w:val="right"/>
      </w:pPr>
      <w:r>
        <w:rPr>
          <w:rFonts w:ascii="Arial" w:hAnsi="Arial" w:cs="Arial" w:eastAsia="Arial"/>
          <w:lang w:val="he-IL" w:bidi="he-IL"/>
          <w:sz w:val="22"/>
          <w:rtl/>
          <w:szCs w:val="22"/>
        </w:rPr>
        <w:t>4. א – חיים פשוטים ללא רכוש רב</w:t>
      </w:r>
    </w:p>
    <w:p>
      <w:pPr>
        <w:bidi/>
        <w:spacing w:after="40"/>
        <w:jc w:val="right"/>
      </w:pPr>
      <w:r>
        <w:rPr>
          <w:rFonts w:ascii="Arial" w:hAnsi="Arial" w:cs="Arial" w:eastAsia="Arial"/>
          <w:lang w:val="he-IL" w:bidi="he-IL"/>
          <w:sz w:val="22"/>
          <w:rtl/>
          <w:szCs w:val="22"/>
        </w:rPr>
        <w:t>5. ב – יכולת לשנות עמדה כשהנסיבות משתנות לטובת המדינה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הדף מציג עמדה שמנהיג צריך לפעול לטובת המדינה כולה</w:t>
      </w:r>
    </w:p>
    <w:p>
      <w:pPr>
        <w:bidi/>
        <w:spacing w:after="40"/>
        <w:jc w:val="right"/>
      </w:pPr>
      <w:r>
        <w:rPr>
          <w:rFonts w:ascii="Arial" w:hAnsi="Arial" w:cs="Arial" w:eastAsia="Arial"/>
          <w:lang w:val="he-IL" w:bidi="he-IL"/>
          <w:sz w:val="22"/>
          <w:rtl/>
          <w:szCs w:val="22"/>
        </w:rPr>
        <w:t>2. נכון – צניעותו האישית הייתה חלק ממנהיגותו</w:t>
      </w:r>
    </w:p>
    <w:p>
      <w:pPr>
        <w:bidi/>
        <w:spacing w:after="40"/>
        <w:jc w:val="right"/>
      </w:pPr>
      <w:r>
        <w:rPr>
          <w:rFonts w:ascii="Arial" w:hAnsi="Arial" w:cs="Arial" w:eastAsia="Arial"/>
          <w:lang w:val="he-IL" w:bidi="he-IL"/>
          <w:sz w:val="22"/>
          <w:rtl/>
          <w:szCs w:val="22"/>
        </w:rPr>
        <w:t>3. לא נכון – הוא הגיע להסכם שלום עם מצרים לאחר שנים של עימות</w:t>
      </w:r>
    </w:p>
    <w:p>
      <w:pPr>
        <w:bidi/>
        <w:spacing w:after="40"/>
        <w:jc w:val="right"/>
      </w:pPr>
      <w:r>
        <w:rPr>
          <w:rFonts w:ascii="Arial" w:hAnsi="Arial" w:cs="Arial" w:eastAsia="Arial"/>
          <w:lang w:val="he-IL" w:bidi="he-IL"/>
          <w:sz w:val="22"/>
          <w:rtl/>
          <w:szCs w:val="22"/>
        </w:rPr>
        <w:t>4. נכון – זהו אחד ההיגדים המרכזיים בדף</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פשטות</w:t>
      </w:r>
    </w:p>
    <w:p>
      <w:pPr>
        <w:bidi/>
        <w:spacing w:after="40"/>
        <w:jc w:val="right"/>
      </w:pPr>
      <w:r>
        <w:rPr>
          <w:rFonts w:ascii="Arial" w:hAnsi="Arial" w:cs="Arial" w:eastAsia="Arial"/>
          <w:lang w:val="he-IL" w:bidi="he-IL"/>
          <w:sz w:val="22"/>
          <w:rtl/>
          <w:szCs w:val="22"/>
        </w:rPr>
        <w:t>2. אלטלנה</w:t>
      </w:r>
    </w:p>
    <w:p>
      <w:pPr>
        <w:bidi/>
        <w:spacing w:after="40"/>
        <w:jc w:val="right"/>
      </w:pPr>
      <w:r>
        <w:rPr>
          <w:rFonts w:ascii="Arial" w:hAnsi="Arial" w:cs="Arial" w:eastAsia="Arial"/>
          <w:lang w:val="he-IL" w:bidi="he-IL"/>
          <w:sz w:val="22"/>
          <w:rtl/>
          <w:szCs w:val="22"/>
        </w:rPr>
        <w:t>3. מצרים</w:t>
      </w:r>
    </w:p>
    <w:p>
      <w:pPr>
        <w:bidi/>
        <w:spacing w:after="40"/>
        <w:jc w:val="right"/>
      </w:pPr>
      <w:r>
        <w:rPr>
          <w:rFonts w:ascii="Arial" w:hAnsi="Arial" w:cs="Arial" w:eastAsia="Arial"/>
          <w:lang w:val="he-IL" w:bidi="he-IL"/>
          <w:sz w:val="22"/>
          <w:rtl/>
          <w:szCs w:val="22"/>
        </w:rPr>
        <w:t>4. ממלכתית</w:t>
      </w:r>
    </w:p>
    <w:p>
      <w:pPr>
        <w:bidi/>
        <w:pStyle w:val="Heading3"/>
        <w:spacing w:after="80"/>
        <w:jc w:val="right"/>
      </w:pPr>
      <w:r>
        <w:rPr>
          <w:rFonts w:ascii="Arial" w:hAnsi="Arial" w:cs="Arial" w:eastAsia="Arial"/>
          <w:lang w:val="he-IL" w:bidi="he-IL"/>
          <w:b/>
          <w:color w:val="38A169"/>
          <w:sz w:val="26"/>
          <w:rtl/>
          <w:szCs w:val="26"/>
          <w:bCs/>
        </w:rPr>
        <w:t>חלק ד׳ – התאמת מושגים</w:t>
      </w:r>
    </w:p>
    <w:p>
      <w:pPr>
        <w:bidi/>
        <w:spacing w:after="40"/>
        <w:jc w:val="right"/>
      </w:pPr>
      <w:r>
        <w:rPr>
          <w:rFonts w:ascii="Arial" w:hAnsi="Arial" w:cs="Arial" w:eastAsia="Arial"/>
          <w:lang w:val="he-IL" w:bidi="he-IL"/>
          <w:sz w:val="22"/>
          <w:rtl/>
          <w:szCs w:val="22"/>
        </w:rPr>
        <w:t>1 – ד (פעולה לטובת כלל הציבור)</w:t>
      </w:r>
    </w:p>
    <w:p>
      <w:pPr>
        <w:bidi/>
        <w:spacing w:after="40"/>
        <w:jc w:val="right"/>
      </w:pPr>
      <w:r>
        <w:rPr>
          <w:rFonts w:ascii="Arial" w:hAnsi="Arial" w:cs="Arial" w:eastAsia="Arial"/>
          <w:lang w:val="he-IL" w:bidi="he-IL"/>
          <w:sz w:val="22"/>
          <w:rtl/>
          <w:szCs w:val="22"/>
        </w:rPr>
        <w:t>2 – ה (הימנעות מהפגנת עושר וכוח)</w:t>
      </w:r>
    </w:p>
    <w:p>
      <w:pPr>
        <w:bidi/>
        <w:spacing w:after="40"/>
        <w:jc w:val="right"/>
      </w:pPr>
      <w:r>
        <w:rPr>
          <w:rFonts w:ascii="Arial" w:hAnsi="Arial" w:cs="Arial" w:eastAsia="Arial"/>
          <w:lang w:val="he-IL" w:bidi="he-IL"/>
          <w:sz w:val="22"/>
          <w:rtl/>
          <w:szCs w:val="22"/>
        </w:rPr>
        <w:t>3 – ג (יכולת לשנות עמדה לפי נסיבות)</w:t>
      </w:r>
    </w:p>
    <w:p>
      <w:pPr>
        <w:bidi/>
        <w:spacing w:after="40"/>
        <w:jc w:val="right"/>
      </w:pPr>
      <w:r>
        <w:rPr>
          <w:rFonts w:ascii="Arial" w:hAnsi="Arial" w:cs="Arial" w:eastAsia="Arial"/>
          <w:lang w:val="he-IL" w:bidi="he-IL"/>
          <w:sz w:val="22"/>
          <w:rtl/>
          <w:szCs w:val="22"/>
        </w:rPr>
        <w:t>4 – א (פעולה לפי חוק גם כשזה קשה אישית)</w:t>
      </w:r>
    </w:p>
    <w:p>
      <w:pPr>
        <w:bidi/>
        <w:spacing w:after="40"/>
        <w:jc w:val="right"/>
      </w:pPr>
      <w:r>
        <w:rPr>
          <w:rFonts w:ascii="Arial" w:hAnsi="Arial" w:cs="Arial" w:eastAsia="Arial"/>
          <w:lang w:val="he-IL" w:bidi="he-IL"/>
          <w:sz w:val="22"/>
          <w:rtl/>
          <w:szCs w:val="22"/>
        </w:rPr>
        <w:t>5 – ב (אירוע שבו נמנעה מלחמת אחים)</w:t>
      </w:r>
    </w:p>
    <w:p>
      <w:pPr>
        <w:bidi/>
        <w:pStyle w:val="Heading3"/>
        <w:spacing w:after="80"/>
        <w:jc w:val="right"/>
      </w:pPr>
      <w:r>
        <w:rPr>
          <w:rFonts w:ascii="Arial" w:hAnsi="Arial" w:cs="Arial" w:eastAsia="Arial"/>
          <w:lang w:val="he-IL" w:bidi="he-IL"/>
          <w:b/>
          <w:color w:val="805AD5"/>
          <w:sz w:val="26"/>
          <w:rtl/>
          <w:szCs w:val="26"/>
          <w:bCs/>
        </w:rPr>
        <w:t>חלק ה׳ – תשובה קצרה</w:t>
      </w:r>
    </w:p>
    <w:p>
      <w:pPr>
        <w:bidi/>
        <w:spacing w:after="40"/>
        <w:jc w:val="right"/>
      </w:pPr>
      <w:r>
        <w:rPr>
          <w:rFonts w:ascii="Arial" w:hAnsi="Arial" w:cs="Arial" w:eastAsia="Arial"/>
          <w:lang w:val="he-IL" w:bidi="he-IL"/>
          <w:sz w:val="22"/>
          <w:rtl/>
          <w:szCs w:val="22"/>
        </w:rPr>
        <w:t>1. למשל חיי הפשטות שלו או ההימנעות ממלחמת אחים באלטלנה - דוגמה לכך שמנהיג יכול לוותר על אינטרס אישי לטובת המדינה</w:t>
      </w:r>
    </w:p>
    <w:p>
      <w:pPr>
        <w:bidi/>
        <w:pStyle w:val="Heading3"/>
        <w:spacing w:after="80"/>
        <w:jc w:val="right"/>
      </w:pPr>
      <w:r>
        <w:rPr>
          <w:rFonts w:ascii="Arial" w:hAnsi="Arial" w:cs="Arial" w:eastAsia="Arial"/>
          <w:lang w:val="he-IL" w:bidi="he-IL"/>
          <w:b/>
          <w:color w:val="D53F8C"/>
          <w:sz w:val="26"/>
          <w:rtl/>
          <w:szCs w:val="26"/>
          <w:bCs/>
        </w:rPr>
        <w:t>חלק ו׳ – כתיבת פסקת טיעון</w:t>
      </w:r>
    </w:p>
    <w:p>
      <w:pPr>
        <w:bidi/>
        <w:spacing w:after="40"/>
        <w:jc w:val="right"/>
      </w:pPr>
      <w:r>
        <w:rPr>
          <w:rFonts w:ascii="Arial" w:hAnsi="Arial" w:cs="Arial" w:eastAsia="Arial"/>
          <w:lang w:val="he-IL" w:bidi="he-IL"/>
          <w:sz w:val="22"/>
          <w:rtl/>
          <w:szCs w:val="22"/>
        </w:rPr>
        <w:t>1. יש לבדוק מבנה ברור (טענה-נימוק-דוגמה-סיכום), שימוש נכון בדוגמה רלוונטית מחיי בגין, ושפה בהירה ומנומקת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הגדרה: פעולה לטובת כלל המדינה ולא רק קבוצה</w:t>
      </w:r>
    </w:p>
    <w:p>
      <w:pPr>
        <w:bidi/>
        <w:spacing w:after="80"/>
        <w:jc w:val="right"/>
      </w:pPr>
      <w:r>
        <w:rPr>
          <w:rFonts w:ascii="Arial" w:hAnsi="Arial" w:cs="Arial" w:eastAsia="Arial"/>
          <w:lang w:val="he-IL" w:bidi="he-IL"/>
          <w:sz w:val="22"/>
          <w:rtl/>
          <w:szCs w:val="22"/>
        </w:rPr>
        <w:t>• דוגמה כמו חיים פשוטים או הימנעות מרכוש</w:t>
      </w:r>
    </w:p>
    <w:p>
      <w:pPr>
        <w:bidi/>
        <w:spacing w:after="80"/>
        <w:jc w:val="right"/>
      </w:pPr>
      <w:r>
        <w:rPr>
          <w:rFonts w:ascii="Arial" w:hAnsi="Arial" w:cs="Arial" w:eastAsia="Arial"/>
          <w:lang w:val="he-IL" w:bidi="he-IL"/>
          <w:sz w:val="22"/>
          <w:rtl/>
          <w:szCs w:val="22"/>
        </w:rPr>
        <w:t>• תשובה אישית עם נימוק הגיוני, לא חובה הסכמה מלאה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על הסקאלה שבדף לפני מילוי הפעילויות</w:t>
      </w:r>
    </w:p>
    <w:p>
      <w:pPr>
        <w:bidi/>
        <w:spacing w:after="80"/>
        <w:jc w:val="right"/>
      </w:pPr>
      <w:r>
        <w:rPr>
          <w:rFonts w:ascii="Arial" w:hAnsi="Arial" w:cs="Arial" w:eastAsia="Arial"/>
          <w:lang w:val="he-IL" w:bidi="he-IL"/>
          <w:sz w:val="22"/>
          <w:rtl/>
          <w:szCs w:val="22"/>
        </w:rPr>
        <w:t>• כדאי לעודד תלמידים להשוות בין עמדות שונות בכיתה לפני הכתיבה האישית</w:t>
      </w:r>
    </w:p>
    <w:p>
      <w:pPr>
        <w:bidi/>
        <w:spacing w:after="80"/>
        <w:jc w:val="right"/>
      </w:pPr>
      <w:r>
        <w:rPr>
          <w:rFonts w:ascii="Arial" w:hAnsi="Arial" w:cs="Arial" w:eastAsia="Arial"/>
          <w:lang w:val="he-IL" w:bidi="he-IL"/>
          <w:sz w:val="22"/>
          <w:rtl/>
          <w:szCs w:val="22"/>
        </w:rPr>
        <w:t>• בחלק הפתוח מומלץ לתת דוגמה אחת מודגמת לפני שהתלמידים כותבים בעצמם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מנחם בגין: מנהיגות, צניעות ושלום</w:t>
            </w:r>
          </w:p>
          <w:p>
            <w:pPr>
              <w:bidi/>
              <w:jc w:val="right"/>
            </w:pPr>
            <w:r>
              <w:rPr>
                <w:rFonts w:ascii="Arial" w:hAnsi="Arial" w:cs="Arial" w:eastAsia="Arial"/>
                <w:lang w:val="he-IL" w:bidi="he-IL"/>
                <w:b/>
                <w:color w:val="3C1361"/>
                <w:sz w:val="32"/>
                <w:rtl/>
                <w:szCs w:val="32"/>
                <w:bCs/>
              </w:rPr>
              <w:t>דף תרגול: מנחם בגין – מנהיגות, צניעות וממלכתיות</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בדף הזה נלמד על מנחם בגין: איך הוא התנהג כמנהיג, למה הוא היה צנוע, ולמה הוא כיבד את החוק גם כשזה היה קשה לו.</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ממלכתיות</w:t>
            </w:r>
          </w:p>
        </w:tc>
        <w:tc>
          <w:tcPr>
            <w:tcW w:type="dxa" w:w="7313"/>
          </w:tcPr>
          <w:p>
            <w:pPr>
              <w:bidi/>
              <w:jc w:val="right"/>
            </w:pPr>
            <w:r>
              <w:rPr>
                <w:rFonts w:ascii="Arial" w:hAnsi="Arial" w:cs="Arial" w:eastAsia="Arial"/>
                <w:lang w:val="he-IL" w:bidi="he-IL"/>
                <w:sz w:val="24"/>
                <w:rtl/>
                <w:szCs w:val="24"/>
              </w:rPr>
              <w:t>לפעול לטובת כלל המדינה, לא רק לטובת קבוצה מסוימת</w:t>
            </w:r>
          </w:p>
        </w:tc>
      </w:tr>
      <w:tr>
        <w:tc>
          <w:tcPr>
            <w:tcW w:type="dxa" w:w="2551"/>
            <w:shd w:val="clear" w:fill="E6FFFA"/>
          </w:tcPr>
          <w:p>
            <w:pPr>
              <w:bidi/>
              <w:jc w:val="right"/>
            </w:pPr>
            <w:r>
              <w:rPr>
                <w:rFonts w:ascii="Arial" w:hAnsi="Arial" w:cs="Arial" w:eastAsia="Arial"/>
                <w:lang w:val="he-IL" w:bidi="he-IL"/>
                <w:b/>
                <w:sz w:val="24"/>
                <w:rtl/>
                <w:szCs w:val="24"/>
                <w:bCs/>
              </w:rPr>
              <w:t>צניעות</w:t>
            </w:r>
          </w:p>
        </w:tc>
        <w:tc>
          <w:tcPr>
            <w:tcW w:type="dxa" w:w="7313"/>
          </w:tcPr>
          <w:p>
            <w:pPr>
              <w:bidi/>
              <w:jc w:val="right"/>
            </w:pPr>
            <w:r>
              <w:rPr>
                <w:rFonts w:ascii="Arial" w:hAnsi="Arial" w:cs="Arial" w:eastAsia="Arial"/>
                <w:lang w:val="he-IL" w:bidi="he-IL"/>
                <w:sz w:val="24"/>
                <w:rtl/>
                <w:szCs w:val="24"/>
              </w:rPr>
              <w:t>חיים פשוטים, בלי הפגנת עושר או כוח</w:t>
            </w:r>
          </w:p>
        </w:tc>
      </w:tr>
      <w:tr>
        <w:tc>
          <w:tcPr>
            <w:tcW w:type="dxa" w:w="2551"/>
            <w:shd w:val="clear" w:fill="E6FFFA"/>
          </w:tcPr>
          <w:p>
            <w:pPr>
              <w:bidi/>
              <w:jc w:val="right"/>
            </w:pPr>
            <w:r>
              <w:rPr>
                <w:rFonts w:ascii="Arial" w:hAnsi="Arial" w:cs="Arial" w:eastAsia="Arial"/>
                <w:lang w:val="he-IL" w:bidi="he-IL"/>
                <w:b/>
                <w:sz w:val="24"/>
                <w:rtl/>
                <w:szCs w:val="24"/>
                <w:bCs/>
              </w:rPr>
              <w:t>גמישות מנהיגותית</w:t>
            </w:r>
          </w:p>
        </w:tc>
        <w:tc>
          <w:tcPr>
            <w:tcW w:type="dxa" w:w="7313"/>
          </w:tcPr>
          <w:p>
            <w:pPr>
              <w:bidi/>
              <w:jc w:val="right"/>
            </w:pPr>
            <w:r>
              <w:rPr>
                <w:rFonts w:ascii="Arial" w:hAnsi="Arial" w:cs="Arial" w:eastAsia="Arial"/>
                <w:lang w:val="he-IL" w:bidi="he-IL"/>
                <w:sz w:val="24"/>
                <w:rtl/>
                <w:szCs w:val="24"/>
              </w:rPr>
              <w:t>יכולת לשנות עמדה כשהנסיבות משתנות</w:t>
            </w:r>
          </w:p>
        </w:tc>
      </w:tr>
      <w:tr>
        <w:tc>
          <w:tcPr>
            <w:tcW w:type="dxa" w:w="2551"/>
            <w:shd w:val="clear" w:fill="E6FFFA"/>
          </w:tcPr>
          <w:p>
            <w:pPr>
              <w:bidi/>
              <w:jc w:val="right"/>
            </w:pPr>
            <w:r>
              <w:rPr>
                <w:rFonts w:ascii="Arial" w:hAnsi="Arial" w:cs="Arial" w:eastAsia="Arial"/>
                <w:lang w:val="he-IL" w:bidi="he-IL"/>
                <w:b/>
                <w:sz w:val="24"/>
                <w:rtl/>
                <w:szCs w:val="24"/>
                <w:bCs/>
              </w:rPr>
              <w:t>כיבוד מוסדות</w:t>
            </w:r>
          </w:p>
        </w:tc>
        <w:tc>
          <w:tcPr>
            <w:tcW w:type="dxa" w:w="7313"/>
          </w:tcPr>
          <w:p>
            <w:pPr>
              <w:bidi/>
              <w:jc w:val="right"/>
            </w:pPr>
            <w:r>
              <w:rPr>
                <w:rFonts w:ascii="Arial" w:hAnsi="Arial" w:cs="Arial" w:eastAsia="Arial"/>
                <w:lang w:val="he-IL" w:bidi="he-IL"/>
                <w:sz w:val="24"/>
                <w:rtl/>
                <w:szCs w:val="24"/>
              </w:rPr>
              <w:t>פעולה לפי חוק וסמכות גם כשזה קשה אישית</w:t>
            </w:r>
          </w:p>
        </w:tc>
      </w:tr>
      <w:tr>
        <w:tc>
          <w:tcPr>
            <w:tcW w:type="dxa" w:w="2551"/>
            <w:shd w:val="clear" w:fill="E6FFFA"/>
          </w:tcPr>
          <w:p>
            <w:pPr>
              <w:bidi/>
              <w:jc w:val="right"/>
            </w:pPr>
            <w:r>
              <w:rPr>
                <w:rFonts w:ascii="Arial" w:hAnsi="Arial" w:cs="Arial" w:eastAsia="Arial"/>
                <w:lang w:val="he-IL" w:bidi="he-IL"/>
                <w:b/>
                <w:sz w:val="24"/>
                <w:rtl/>
                <w:szCs w:val="24"/>
                <w:bCs/>
              </w:rPr>
              <w:t>פרשת האלטלנה</w:t>
            </w:r>
          </w:p>
        </w:tc>
        <w:tc>
          <w:tcPr>
            <w:tcW w:type="dxa" w:w="7313"/>
          </w:tcPr>
          <w:p>
            <w:pPr>
              <w:bidi/>
              <w:jc w:val="right"/>
            </w:pPr>
            <w:r>
              <w:rPr>
                <w:rFonts w:ascii="Arial" w:hAnsi="Arial" w:cs="Arial" w:eastAsia="Arial"/>
                <w:lang w:val="he-IL" w:bidi="he-IL"/>
                <w:sz w:val="24"/>
                <w:rtl/>
                <w:szCs w:val="24"/>
              </w:rPr>
              <w:t>אירוע שבו בגין נמנע ממלחמת אחים בין יהודים</w:t>
            </w:r>
          </w:p>
        </w:tc>
      </w:tr>
      <w:tr>
        <w:tc>
          <w:tcPr>
            <w:tcW w:type="dxa" w:w="2551"/>
            <w:shd w:val="clear" w:fill="E6FFFA"/>
          </w:tcPr>
          <w:p>
            <w:pPr>
              <w:bidi/>
              <w:jc w:val="right"/>
            </w:pPr>
            <w:r>
              <w:rPr>
                <w:rFonts w:ascii="Arial" w:hAnsi="Arial" w:cs="Arial" w:eastAsia="Arial"/>
                <w:lang w:val="he-IL" w:bidi="he-IL"/>
                <w:b/>
                <w:sz w:val="24"/>
                <w:rtl/>
                <w:szCs w:val="24"/>
                <w:bCs/>
              </w:rPr>
              <w:t>הסכם שלום</w:t>
            </w:r>
          </w:p>
        </w:tc>
        <w:tc>
          <w:tcPr>
            <w:tcW w:type="dxa" w:w="7313"/>
          </w:tcPr>
          <w:p>
            <w:pPr>
              <w:bidi/>
              <w:jc w:val="right"/>
            </w:pPr>
            <w:r>
              <w:rPr>
                <w:rFonts w:ascii="Arial" w:hAnsi="Arial" w:cs="Arial" w:eastAsia="Arial"/>
                <w:lang w:val="he-IL" w:bidi="he-IL"/>
                <w:sz w:val="24"/>
                <w:rtl/>
                <w:szCs w:val="24"/>
              </w:rPr>
              <w:t>הסכם בין מדינות לסיום סכסוך, כמו הסכם בגין עם מצרים</w:t>
            </w:r>
          </w:p>
        </w:tc>
      </w:tr>
      <w:tr>
        <w:tc>
          <w:tcPr>
            <w:tcW w:type="dxa" w:w="2551"/>
            <w:shd w:val="clear" w:fill="E6FFFA"/>
          </w:tcPr>
          <w:p>
            <w:pPr>
              <w:bidi/>
              <w:jc w:val="right"/>
            </w:pPr>
            <w:r>
              <w:rPr>
                <w:rFonts w:ascii="Arial" w:hAnsi="Arial" w:cs="Arial" w:eastAsia="Arial"/>
                <w:lang w:val="he-IL" w:bidi="he-IL"/>
                <w:b/>
                <w:sz w:val="24"/>
                <w:rtl/>
                <w:szCs w:val="24"/>
                <w:bCs/>
              </w:rPr>
              <w:t>תומכים</w:t>
            </w:r>
          </w:p>
        </w:tc>
        <w:tc>
          <w:tcPr>
            <w:tcW w:type="dxa" w:w="7313"/>
          </w:tcPr>
          <w:p>
            <w:pPr>
              <w:bidi/>
              <w:jc w:val="right"/>
            </w:pPr>
            <w:r>
              <w:rPr>
                <w:rFonts w:ascii="Arial" w:hAnsi="Arial" w:cs="Arial" w:eastAsia="Arial"/>
                <w:lang w:val="he-IL" w:bidi="he-IL"/>
                <w:sz w:val="24"/>
                <w:rtl/>
                <w:szCs w:val="24"/>
              </w:rPr>
              <w:t>אנשים שתומכים במנהיג או במפלגה מסוימת</w:t>
            </w:r>
          </w:p>
        </w:tc>
      </w:tr>
      <w:tr>
        <w:tc>
          <w:tcPr>
            <w:tcW w:type="dxa" w:w="2551"/>
            <w:shd w:val="clear" w:fill="E6FFFA"/>
          </w:tcPr>
          <w:p>
            <w:pPr>
              <w:bidi/>
              <w:jc w:val="right"/>
            </w:pPr>
            <w:r>
              <w:rPr>
                <w:rFonts w:ascii="Arial" w:hAnsi="Arial" w:cs="Arial" w:eastAsia="Arial"/>
                <w:lang w:val="he-IL" w:bidi="he-IL"/>
                <w:b/>
                <w:sz w:val="24"/>
                <w:rtl/>
                <w:szCs w:val="24"/>
                <w:bCs/>
              </w:rPr>
              <w:t>אחריות ציבורית</w:t>
            </w:r>
          </w:p>
        </w:tc>
        <w:tc>
          <w:tcPr>
            <w:tcW w:type="dxa" w:w="7313"/>
          </w:tcPr>
          <w:p>
            <w:pPr>
              <w:bidi/>
              <w:jc w:val="right"/>
            </w:pPr>
            <w:r>
              <w:rPr>
                <w:rFonts w:ascii="Arial" w:hAnsi="Arial" w:cs="Arial" w:eastAsia="Arial"/>
                <w:lang w:val="he-IL" w:bidi="he-IL"/>
                <w:sz w:val="24"/>
                <w:rtl/>
                <w:szCs w:val="24"/>
              </w:rPr>
              <w:t>מחויבות של מנהיג כלפי כלל הציבור</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זה להיות מנהיג ממלכתי?</w:t>
      </w:r>
    </w:p>
    <w:p>
      <w:pPr>
        <w:bidi/>
        <w:spacing w:after="20"/>
        <w:jc w:val="right"/>
      </w:pPr>
      <w:r>
        <w:rPr>
          <w:rFonts w:ascii="Arial" w:hAnsi="Arial" w:cs="Arial" w:eastAsia="Arial"/>
          <w:lang w:val="he-IL" w:bidi="he-IL"/>
          <w:sz w:val="24"/>
          <w:rtl/>
          <w:szCs w:val="24"/>
        </w:rPr>
        <w:t xml:space="preserve">      ☐ א. פעולה לטובת המדינה כולה</w:t>
      </w:r>
    </w:p>
    <w:p>
      <w:pPr>
        <w:bidi/>
        <w:spacing w:after="20"/>
        <w:jc w:val="right"/>
      </w:pPr>
      <w:r>
        <w:rPr>
          <w:rFonts w:ascii="Arial" w:hAnsi="Arial" w:cs="Arial" w:eastAsia="Arial"/>
          <w:lang w:val="he-IL" w:bidi="he-IL"/>
          <w:sz w:val="24"/>
          <w:rtl/>
          <w:szCs w:val="24"/>
        </w:rPr>
        <w:t xml:space="preserve">      ☐ ב. פעולה לטובת תומכיו בלבד</w:t>
      </w:r>
    </w:p>
    <w:p>
      <w:pPr>
        <w:bidi/>
        <w:spacing w:after="20"/>
        <w:jc w:val="right"/>
      </w:pPr>
      <w:r>
        <w:rPr>
          <w:rFonts w:ascii="Arial" w:hAnsi="Arial" w:cs="Arial" w:eastAsia="Arial"/>
          <w:lang w:val="he-IL" w:bidi="he-IL"/>
          <w:sz w:val="24"/>
          <w:rtl/>
          <w:szCs w:val="24"/>
        </w:rPr>
        <w:t xml:space="preserve">      ☐ ג. הימנעות מקבלת החלטות</w:t>
      </w:r>
    </w:p>
    <w:p>
      <w:pPr>
        <w:bidi/>
        <w:spacing w:after="20"/>
        <w:jc w:val="right"/>
      </w:pPr>
      <w:r>
        <w:rPr>
          <w:rFonts w:ascii="Arial" w:hAnsi="Arial" w:cs="Arial" w:eastAsia="Arial"/>
          <w:lang w:val="he-IL" w:bidi="he-IL"/>
          <w:sz w:val="24"/>
          <w:rtl/>
          <w:szCs w:val="24"/>
        </w:rPr>
        <w:t xml:space="preserve">      ☐ ד. התעלמות מהחוק</w:t>
      </w:r>
    </w:p>
    <w:p>
      <w:pPr>
        <w:bidi/>
        <w:spacing w:after="20"/>
        <w:jc w:val="right"/>
      </w:pPr>
      <w:r>
        <w:rPr>
          <w:rFonts w:ascii="Arial" w:hAnsi="Arial" w:cs="Arial" w:eastAsia="Arial"/>
          <w:lang w:val="he-IL" w:bidi="he-IL"/>
          <w:b/>
          <w:sz w:val="24"/>
          <w:rtl/>
          <w:szCs w:val="24"/>
          <w:bCs/>
        </w:rPr>
        <w:t>2. מה בגין עשה באלטלנה?</w:t>
      </w:r>
    </w:p>
    <w:p>
      <w:pPr>
        <w:bidi/>
        <w:spacing w:after="20"/>
        <w:jc w:val="right"/>
      </w:pPr>
      <w:r>
        <w:rPr>
          <w:rFonts w:ascii="Arial" w:hAnsi="Arial" w:cs="Arial" w:eastAsia="Arial"/>
          <w:lang w:val="he-IL" w:bidi="he-IL"/>
          <w:sz w:val="24"/>
          <w:rtl/>
          <w:szCs w:val="24"/>
        </w:rPr>
        <w:t xml:space="preserve">      ☐ א. הילחם בכוח נגד הממשלה</w:t>
      </w:r>
    </w:p>
    <w:p>
      <w:pPr>
        <w:bidi/>
        <w:spacing w:after="20"/>
        <w:jc w:val="right"/>
      </w:pPr>
      <w:r>
        <w:rPr>
          <w:rFonts w:ascii="Arial" w:hAnsi="Arial" w:cs="Arial" w:eastAsia="Arial"/>
          <w:lang w:val="he-IL" w:bidi="he-IL"/>
          <w:sz w:val="24"/>
          <w:rtl/>
          <w:szCs w:val="24"/>
        </w:rPr>
        <w:t xml:space="preserve">      ☐ ב. למנוע מלחמת אחים בין יהודים</w:t>
      </w:r>
    </w:p>
    <w:p>
      <w:pPr>
        <w:bidi/>
        <w:spacing w:after="20"/>
        <w:jc w:val="right"/>
      </w:pPr>
      <w:r>
        <w:rPr>
          <w:rFonts w:ascii="Arial" w:hAnsi="Arial" w:cs="Arial" w:eastAsia="Arial"/>
          <w:lang w:val="he-IL" w:bidi="he-IL"/>
          <w:sz w:val="24"/>
          <w:rtl/>
          <w:szCs w:val="24"/>
        </w:rPr>
        <w:t xml:space="preserve">      ☐ ג. להתעלם מהאירוע</w:t>
      </w:r>
    </w:p>
    <w:p>
      <w:pPr>
        <w:bidi/>
        <w:spacing w:after="20"/>
        <w:jc w:val="right"/>
      </w:pPr>
      <w:r>
        <w:rPr>
          <w:rFonts w:ascii="Arial" w:hAnsi="Arial" w:cs="Arial" w:eastAsia="Arial"/>
          <w:lang w:val="he-IL" w:bidi="he-IL"/>
          <w:sz w:val="24"/>
          <w:rtl/>
          <w:szCs w:val="24"/>
        </w:rPr>
        <w:t xml:space="preserve">      ☐ ד. לפרוש מהפוליטיקה</w:t>
      </w:r>
    </w:p>
    <w:p>
      <w:pPr>
        <w:bidi/>
        <w:spacing w:after="20"/>
        <w:jc w:val="right"/>
      </w:pPr>
      <w:r>
        <w:rPr>
          <w:rFonts w:ascii="Arial" w:hAnsi="Arial" w:cs="Arial" w:eastAsia="Arial"/>
          <w:lang w:val="he-IL" w:bidi="he-IL"/>
          <w:b/>
          <w:sz w:val="24"/>
          <w:rtl/>
          <w:szCs w:val="24"/>
          <w:bCs/>
        </w:rPr>
        <w:t>3. עם מי בגין עשה שלום?</w:t>
      </w:r>
    </w:p>
    <w:p>
      <w:pPr>
        <w:bidi/>
        <w:spacing w:after="20"/>
        <w:jc w:val="right"/>
      </w:pPr>
      <w:r>
        <w:rPr>
          <w:rFonts w:ascii="Arial" w:hAnsi="Arial" w:cs="Arial" w:eastAsia="Arial"/>
          <w:lang w:val="he-IL" w:bidi="he-IL"/>
          <w:sz w:val="24"/>
          <w:rtl/>
          <w:szCs w:val="24"/>
        </w:rPr>
        <w:t xml:space="preserve">      ☐ א. ירדן</w:t>
      </w:r>
    </w:p>
    <w:p>
      <w:pPr>
        <w:bidi/>
        <w:spacing w:after="20"/>
        <w:jc w:val="right"/>
      </w:pPr>
      <w:r>
        <w:rPr>
          <w:rFonts w:ascii="Arial" w:hAnsi="Arial" w:cs="Arial" w:eastAsia="Arial"/>
          <w:lang w:val="he-IL" w:bidi="he-IL"/>
          <w:sz w:val="24"/>
          <w:rtl/>
          <w:szCs w:val="24"/>
        </w:rPr>
        <w:t xml:space="preserve">      ☐ ב. מצרים</w:t>
      </w:r>
    </w:p>
    <w:p>
      <w:pPr>
        <w:bidi/>
        <w:spacing w:after="20"/>
        <w:jc w:val="right"/>
      </w:pPr>
      <w:r>
        <w:rPr>
          <w:rFonts w:ascii="Arial" w:hAnsi="Arial" w:cs="Arial" w:eastAsia="Arial"/>
          <w:lang w:val="he-IL" w:bidi="he-IL"/>
          <w:sz w:val="24"/>
          <w:rtl/>
          <w:szCs w:val="24"/>
        </w:rPr>
        <w:t xml:space="preserve">      ☐ ג. סוריה</w:t>
      </w:r>
    </w:p>
    <w:p>
      <w:pPr>
        <w:bidi/>
        <w:spacing w:after="20"/>
        <w:jc w:val="right"/>
      </w:pPr>
      <w:r>
        <w:rPr>
          <w:rFonts w:ascii="Arial" w:hAnsi="Arial" w:cs="Arial" w:eastAsia="Arial"/>
          <w:lang w:val="he-IL" w:bidi="he-IL"/>
          <w:sz w:val="24"/>
          <w:rtl/>
          <w:szCs w:val="24"/>
        </w:rPr>
        <w:t xml:space="preserve">      ☐ ד. עיראק</w:t>
      </w:r>
    </w:p>
    <w:p>
      <w:pPr>
        <w:bidi/>
        <w:spacing w:after="20"/>
        <w:jc w:val="right"/>
      </w:pPr>
      <w:r>
        <w:rPr>
          <w:rFonts w:ascii="Arial" w:hAnsi="Arial" w:cs="Arial" w:eastAsia="Arial"/>
          <w:lang w:val="he-IL" w:bidi="he-IL"/>
          <w:b/>
          <w:sz w:val="24"/>
          <w:rtl/>
          <w:szCs w:val="24"/>
          <w:bCs/>
        </w:rPr>
        <w:t>4. איך בגין חי, בפשטות או בעושר?</w:t>
      </w:r>
    </w:p>
    <w:p>
      <w:pPr>
        <w:bidi/>
        <w:spacing w:after="20"/>
        <w:jc w:val="right"/>
      </w:pPr>
      <w:r>
        <w:rPr>
          <w:rFonts w:ascii="Arial" w:hAnsi="Arial" w:cs="Arial" w:eastAsia="Arial"/>
          <w:lang w:val="he-IL" w:bidi="he-IL"/>
          <w:sz w:val="24"/>
          <w:rtl/>
          <w:szCs w:val="24"/>
        </w:rPr>
        <w:t xml:space="preserve">      ☐ א. חיים פשוטים ללא רכוש רב</w:t>
      </w:r>
    </w:p>
    <w:p>
      <w:pPr>
        <w:bidi/>
        <w:spacing w:after="20"/>
        <w:jc w:val="right"/>
      </w:pPr>
      <w:r>
        <w:rPr>
          <w:rFonts w:ascii="Arial" w:hAnsi="Arial" w:cs="Arial" w:eastAsia="Arial"/>
          <w:lang w:val="he-IL" w:bidi="he-IL"/>
          <w:sz w:val="24"/>
          <w:rtl/>
          <w:szCs w:val="24"/>
        </w:rPr>
        <w:t xml:space="preserve">      ☐ ב. ארמונות ורכב יוקרה</w:t>
      </w:r>
    </w:p>
    <w:p>
      <w:pPr>
        <w:bidi/>
        <w:spacing w:after="20"/>
        <w:jc w:val="right"/>
      </w:pPr>
      <w:r>
        <w:rPr>
          <w:rFonts w:ascii="Arial" w:hAnsi="Arial" w:cs="Arial" w:eastAsia="Arial"/>
          <w:lang w:val="he-IL" w:bidi="he-IL"/>
          <w:sz w:val="24"/>
          <w:rtl/>
          <w:szCs w:val="24"/>
        </w:rPr>
        <w:t xml:space="preserve">      ☐ ג. מסיבות ראווה</w:t>
      </w:r>
    </w:p>
    <w:p>
      <w:pPr>
        <w:bidi/>
        <w:spacing w:after="20"/>
        <w:jc w:val="right"/>
      </w:pPr>
      <w:r>
        <w:rPr>
          <w:rFonts w:ascii="Arial" w:hAnsi="Arial" w:cs="Arial" w:eastAsia="Arial"/>
          <w:lang w:val="he-IL" w:bidi="he-IL"/>
          <w:sz w:val="24"/>
          <w:rtl/>
          <w:szCs w:val="24"/>
        </w:rPr>
        <w:t xml:space="preserve">      ☐ ד. תלבושות מפוארות</w:t>
      </w:r>
    </w:p>
    <w:p>
      <w:pPr>
        <w:bidi/>
        <w:spacing w:after="20"/>
        <w:jc w:val="right"/>
      </w:pPr>
      <w:r>
        <w:rPr>
          <w:rFonts w:ascii="Arial" w:hAnsi="Arial" w:cs="Arial" w:eastAsia="Arial"/>
          <w:lang w:val="he-IL" w:bidi="he-IL"/>
          <w:b/>
          <w:sz w:val="24"/>
          <w:rtl/>
          <w:szCs w:val="24"/>
          <w:bCs/>
        </w:rPr>
        <w:t>5. מה זה 'גמישות' אצל מנהיג?</w:t>
      </w:r>
    </w:p>
    <w:p>
      <w:pPr>
        <w:bidi/>
        <w:spacing w:after="20"/>
        <w:jc w:val="right"/>
      </w:pPr>
      <w:r>
        <w:rPr>
          <w:rFonts w:ascii="Arial" w:hAnsi="Arial" w:cs="Arial" w:eastAsia="Arial"/>
          <w:lang w:val="he-IL" w:bidi="he-IL"/>
          <w:sz w:val="24"/>
          <w:rtl/>
          <w:szCs w:val="24"/>
        </w:rPr>
        <w:t xml:space="preserve">      ☐ א. לשנות עמדה לפי האינטרס האישי בלבד</w:t>
      </w:r>
    </w:p>
    <w:p>
      <w:pPr>
        <w:bidi/>
        <w:spacing w:after="20"/>
        <w:jc w:val="right"/>
      </w:pPr>
      <w:r>
        <w:rPr>
          <w:rFonts w:ascii="Arial" w:hAnsi="Arial" w:cs="Arial" w:eastAsia="Arial"/>
          <w:lang w:val="he-IL" w:bidi="he-IL"/>
          <w:sz w:val="24"/>
          <w:rtl/>
          <w:szCs w:val="24"/>
        </w:rPr>
        <w:t xml:space="preserve">      ☐ ב. יכולת לשנות עמדה כשהנסיבות משתנות לטובת המדינה</w:t>
      </w:r>
    </w:p>
    <w:p>
      <w:pPr>
        <w:bidi/>
        <w:spacing w:after="20"/>
        <w:jc w:val="right"/>
      </w:pPr>
      <w:r>
        <w:rPr>
          <w:rFonts w:ascii="Arial" w:hAnsi="Arial" w:cs="Arial" w:eastAsia="Arial"/>
          <w:lang w:val="he-IL" w:bidi="he-IL"/>
          <w:sz w:val="24"/>
          <w:rtl/>
          <w:szCs w:val="24"/>
        </w:rPr>
        <w:t xml:space="preserve">      ☐ ג. לסרב לכל שינוי בעמדה</w:t>
      </w:r>
    </w:p>
    <w:p>
      <w:pPr>
        <w:bidi/>
        <w:spacing w:after="20"/>
        <w:jc w:val="right"/>
      </w:pPr>
      <w:r>
        <w:rPr>
          <w:rFonts w:ascii="Arial" w:hAnsi="Arial" w:cs="Arial" w:eastAsia="Arial"/>
          <w:lang w:val="he-IL" w:bidi="he-IL"/>
          <w:sz w:val="24"/>
          <w:rtl/>
          <w:szCs w:val="24"/>
        </w:rPr>
        <w:t xml:space="preserve">      ☐ ד. להתחמק מקבלת החלטות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לפי הדף, מנהיג צריך לפעול תמיד רק לטובת תומכיו.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בגין נודע בחיי פשטות ולא ניצל את תפקידו לטובתו האישית.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בגין מעולם לא שינה את עמדותיו בנסיבות משתנות.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לפי הדף, כיבוד חוק ומוסדות חשוב גם כשהם פועלים נגד המנהיג עצמו.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בגין היה ידוע בחיי __________ ולא צבר רכוש רב</w:t>
      </w:r>
    </w:p>
    <w:p>
      <w:pPr>
        <w:bidi/>
        <w:spacing w:after="80"/>
        <w:jc w:val="right"/>
      </w:pPr>
      <w:r>
        <w:rPr>
          <w:rFonts w:ascii="Arial" w:hAnsi="Arial" w:cs="Arial" w:eastAsia="Arial"/>
          <w:lang w:val="he-IL" w:bidi="he-IL"/>
          <w:sz w:val="24"/>
          <w:rtl/>
          <w:szCs w:val="24"/>
        </w:rPr>
        <w:t>2. בפרשת ה__________ בגין בחר למנוע מלחמת אחים בין יהודים</w:t>
      </w:r>
    </w:p>
    <w:p>
      <w:pPr>
        <w:bidi/>
        <w:spacing w:after="80"/>
        <w:jc w:val="right"/>
      </w:pPr>
      <w:r>
        <w:rPr>
          <w:rFonts w:ascii="Arial" w:hAnsi="Arial" w:cs="Arial" w:eastAsia="Arial"/>
          <w:lang w:val="he-IL" w:bidi="he-IL"/>
          <w:sz w:val="24"/>
          <w:rtl/>
          <w:szCs w:val="24"/>
        </w:rPr>
        <w:t>3. בגין חתם על הסכם שלום עם __________</w:t>
      </w:r>
    </w:p>
    <w:p>
      <w:pPr>
        <w:bidi/>
        <w:spacing w:after="80"/>
        <w:jc w:val="right"/>
      </w:pPr>
      <w:r>
        <w:rPr>
          <w:rFonts w:ascii="Arial" w:hAnsi="Arial" w:cs="Arial" w:eastAsia="Arial"/>
          <w:lang w:val="he-IL" w:bidi="he-IL"/>
          <w:sz w:val="24"/>
          <w:rtl/>
          <w:szCs w:val="24"/>
        </w:rPr>
        <w:t>4. מנהיגות שפועלת לטובת המדינה כולה ולא רק לטובת קבוצה מסוימת נקראת מנהיגות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ממלכתיות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פעולה לפי חוק גם כשזה קשה אישית</w:t>
            </w:r>
          </w:p>
        </w:tc>
      </w:tr>
      <w:tr>
        <w:tc>
          <w:tcPr>
            <w:tcW w:type="dxa" w:w="3969"/>
          </w:tcPr>
          <w:p>
            <w:pPr>
              <w:bidi/>
              <w:jc w:val="right"/>
            </w:pPr>
            <w:r>
              <w:rPr>
                <w:rFonts w:ascii="Arial" w:hAnsi="Arial" w:cs="Arial" w:eastAsia="Arial"/>
                <w:lang w:val="he-IL" w:bidi="he-IL"/>
                <w:sz w:val="24"/>
                <w:rtl/>
                <w:szCs w:val="24"/>
              </w:rPr>
              <w:t>2. צניעות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אירוע שבו נמנעה מלחמת אחים</w:t>
            </w:r>
          </w:p>
        </w:tc>
      </w:tr>
      <w:tr>
        <w:tc>
          <w:tcPr>
            <w:tcW w:type="dxa" w:w="3969"/>
          </w:tcPr>
          <w:p>
            <w:pPr>
              <w:bidi/>
              <w:jc w:val="right"/>
            </w:pPr>
            <w:r>
              <w:rPr>
                <w:rFonts w:ascii="Arial" w:hAnsi="Arial" w:cs="Arial" w:eastAsia="Arial"/>
                <w:lang w:val="he-IL" w:bidi="he-IL"/>
                <w:sz w:val="24"/>
                <w:rtl/>
                <w:szCs w:val="24"/>
              </w:rPr>
              <w:t>3. גמישות מנהיגותית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יכולת לשנות עמדה לפי נסיבות</w:t>
            </w:r>
          </w:p>
        </w:tc>
      </w:tr>
      <w:tr>
        <w:tc>
          <w:tcPr>
            <w:tcW w:type="dxa" w:w="3969"/>
          </w:tcPr>
          <w:p>
            <w:pPr>
              <w:bidi/>
              <w:jc w:val="right"/>
            </w:pPr>
            <w:r>
              <w:rPr>
                <w:rFonts w:ascii="Arial" w:hAnsi="Arial" w:cs="Arial" w:eastAsia="Arial"/>
                <w:lang w:val="he-IL" w:bidi="he-IL"/>
                <w:sz w:val="24"/>
                <w:rtl/>
                <w:szCs w:val="24"/>
              </w:rPr>
              <w:t>4. כיבוד מוסדות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פעולה לטובת כלל הציבור</w:t>
            </w:r>
          </w:p>
        </w:tc>
      </w:tr>
      <w:tr>
        <w:tc>
          <w:tcPr>
            <w:tcW w:type="dxa" w:w="3969"/>
          </w:tcPr>
          <w:p>
            <w:pPr>
              <w:bidi/>
              <w:jc w:val="right"/>
            </w:pPr>
            <w:r>
              <w:rPr>
                <w:rFonts w:ascii="Arial" w:hAnsi="Arial" w:cs="Arial" w:eastAsia="Arial"/>
                <w:lang w:val="he-IL" w:bidi="he-IL"/>
                <w:sz w:val="24"/>
                <w:rtl/>
                <w:szCs w:val="24"/>
              </w:rPr>
              <w:t>5. אלטלנה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הימנעות מהפגנת עושר וכוח</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תשובה קצרה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תנו דוגמה אחת מחיי בגין שמראה צניעות אישית או ממלכתיות, והסבירו בקצרה.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כתיבת פסקת טיעון</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בחרו אחד מההיגדים הבאים וכתבו פסקת טיעון (טענה, נימוק, דוגמה מחיי בגין, סיכום): 1. מנהיג צריך לפעול לפי טובת המדינה גם כשזה פוגע בתומכיו. 2. צניעות אישית היא חלק מהמנהיגות. 3. מותר למנהיג לשנות עמדה כשהנסיבות משתנות. 4. כבוד לחוק ולמוסדות חשוב גם כשהם פועלים נגדי.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מהי ממלכתיות במנהיגות?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לצניעות אישית אצל בגין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לדעתכם מנהיג צריך תמיד לכבד את החוק? נמקו בקצרה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מנחם בגין – מנהיגות, צניעות וממלכתיות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